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66" w:rsidRPr="00F4327D" w:rsidRDefault="0010002C" w:rsidP="0010002C">
      <w:pPr>
        <w:jc w:val="center"/>
        <w:rPr>
          <w:rFonts w:ascii="Arial" w:hAnsi="Arial" w:cs="Arial"/>
          <w:b/>
          <w:shadow/>
          <w:color w:val="FFFF00"/>
          <w:sz w:val="32"/>
          <w:szCs w:val="32"/>
        </w:rPr>
      </w:pPr>
      <w:r w:rsidRPr="00F4327D">
        <w:rPr>
          <w:rFonts w:ascii="Arial" w:hAnsi="Arial" w:cs="Arial"/>
          <w:b/>
          <w:shadow/>
          <w:color w:val="FFFF00"/>
          <w:sz w:val="32"/>
          <w:szCs w:val="32"/>
          <w:highlight w:val="darkYellow"/>
        </w:rPr>
        <w:t>HOMEOWNER COVERAGE FORMS</w:t>
      </w:r>
    </w:p>
    <w:p w:rsidR="00F91366" w:rsidRDefault="00F91366" w:rsidP="00F91366">
      <w:pPr>
        <w:rPr>
          <w:rFonts w:ascii="Arial" w:hAnsi="Arial" w:cs="Arial"/>
        </w:rPr>
      </w:pPr>
    </w:p>
    <w:p w:rsidR="0010002C" w:rsidRDefault="0010002C" w:rsidP="00F91366">
      <w:pPr>
        <w:rPr>
          <w:rFonts w:ascii="Arial" w:hAnsi="Arial" w:cs="Arial"/>
        </w:rPr>
      </w:pPr>
    </w:p>
    <w:p w:rsidR="00F91366" w:rsidRPr="00A438AA" w:rsidRDefault="00A76AD9" w:rsidP="00F91366">
      <w:pPr>
        <w:rPr>
          <w:rFonts w:ascii="Arial" w:hAnsi="Arial" w:cs="Arial"/>
        </w:rPr>
      </w:pPr>
      <w:r>
        <w:rPr>
          <w:rFonts w:ascii="Arial" w:hAnsi="Arial" w:cs="Arial"/>
        </w:rPr>
        <w:t>The most</w:t>
      </w:r>
      <w:r w:rsidR="00F91366">
        <w:rPr>
          <w:rFonts w:ascii="Arial" w:hAnsi="Arial" w:cs="Arial"/>
        </w:rPr>
        <w:t xml:space="preserve"> basic</w:t>
      </w:r>
      <w:r>
        <w:rPr>
          <w:rFonts w:ascii="Arial" w:hAnsi="Arial" w:cs="Arial"/>
        </w:rPr>
        <w:t xml:space="preserve"> </w:t>
      </w:r>
      <w:r w:rsidR="00F91366" w:rsidRPr="00A438AA">
        <w:rPr>
          <w:rFonts w:ascii="Arial" w:hAnsi="Arial" w:cs="Arial"/>
        </w:rPr>
        <w:t>policy form</w:t>
      </w:r>
      <w:r>
        <w:rPr>
          <w:rFonts w:ascii="Arial" w:hAnsi="Arial" w:cs="Arial"/>
        </w:rPr>
        <w:t xml:space="preserve"> is the </w:t>
      </w:r>
      <w:r w:rsidRPr="00A76AD9">
        <w:rPr>
          <w:rFonts w:ascii="Arial" w:hAnsi="Arial" w:cs="Arial"/>
          <w:b/>
          <w:color w:val="FF0000"/>
          <w:sz w:val="28"/>
          <w:szCs w:val="28"/>
        </w:rPr>
        <w:t>HO-1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A438AA">
        <w:rPr>
          <w:rFonts w:ascii="Arial" w:hAnsi="Arial" w:cs="Arial"/>
        </w:rPr>
        <w:t>also called the</w:t>
      </w:r>
      <w:r w:rsidR="00F91366" w:rsidRPr="00A438AA">
        <w:rPr>
          <w:rFonts w:ascii="Arial" w:hAnsi="Arial" w:cs="Arial"/>
        </w:rPr>
        <w:t xml:space="preserve"> </w:t>
      </w:r>
      <w:r w:rsidR="00F91366" w:rsidRPr="00A76AD9">
        <w:rPr>
          <w:rFonts w:ascii="Arial" w:hAnsi="Arial" w:cs="Arial"/>
          <w:b/>
          <w:color w:val="FF0000"/>
          <w:sz w:val="28"/>
          <w:szCs w:val="28"/>
        </w:rPr>
        <w:t>Basic</w:t>
      </w:r>
      <w:r w:rsidRPr="00A76AD9">
        <w:rPr>
          <w:rFonts w:ascii="Arial" w:hAnsi="Arial" w:cs="Arial"/>
          <w:b/>
          <w:color w:val="FF0000"/>
          <w:sz w:val="28"/>
          <w:szCs w:val="28"/>
        </w:rPr>
        <w:t xml:space="preserve"> Form</w:t>
      </w:r>
      <w:r w:rsidR="00F91366" w:rsidRPr="00A438AA">
        <w:rPr>
          <w:rFonts w:ascii="Arial" w:hAnsi="Arial" w:cs="Arial"/>
        </w:rPr>
        <w:t>.</w:t>
      </w:r>
      <w:r w:rsidRPr="00A76A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438AA">
        <w:rPr>
          <w:rFonts w:ascii="Arial" w:hAnsi="Arial" w:cs="Arial"/>
        </w:rPr>
        <w:t>Very, very few companies use the Basic Form anymore.  It is included here just for comparison.</w:t>
      </w:r>
    </w:p>
    <w:p w:rsidR="00491D2E" w:rsidRPr="00A438AA" w:rsidRDefault="00491D2E" w:rsidP="00491D2E">
      <w:pPr>
        <w:rPr>
          <w:rFonts w:ascii="Arial" w:hAnsi="Arial" w:cs="Arial"/>
        </w:rPr>
      </w:pPr>
    </w:p>
    <w:p w:rsidR="00CA6B51" w:rsidRPr="00A438AA" w:rsidRDefault="00491D2E" w:rsidP="00A438AA">
      <w:pPr>
        <w:rPr>
          <w:rFonts w:ascii="Arial" w:hAnsi="Arial" w:cs="Arial"/>
        </w:rPr>
      </w:pPr>
      <w:r w:rsidRPr="00A438AA">
        <w:rPr>
          <w:rFonts w:ascii="Arial" w:hAnsi="Arial" w:cs="Arial"/>
        </w:rPr>
        <w:t xml:space="preserve">An </w:t>
      </w:r>
      <w:r w:rsidRPr="00A438AA">
        <w:rPr>
          <w:rFonts w:ascii="Arial" w:hAnsi="Arial" w:cs="Arial"/>
          <w:b/>
        </w:rPr>
        <w:t>HO-1 Basic Form</w:t>
      </w:r>
      <w:r w:rsidRPr="00A438AA">
        <w:rPr>
          <w:rFonts w:ascii="Arial" w:hAnsi="Arial" w:cs="Arial"/>
        </w:rPr>
        <w:t xml:space="preserve"> policy insures your Home</w:t>
      </w:r>
      <w:r w:rsidR="00CA6B51" w:rsidRPr="00A438AA">
        <w:rPr>
          <w:rFonts w:ascii="Arial" w:hAnsi="Arial" w:cs="Arial"/>
        </w:rPr>
        <w:t xml:space="preserve">, </w:t>
      </w:r>
      <w:r w:rsidRPr="00A438AA">
        <w:rPr>
          <w:rFonts w:ascii="Arial" w:hAnsi="Arial" w:cs="Arial"/>
        </w:rPr>
        <w:t>Other Structures</w:t>
      </w:r>
      <w:r w:rsidR="00CA6B51" w:rsidRPr="00A438AA">
        <w:rPr>
          <w:rFonts w:ascii="Arial" w:hAnsi="Arial" w:cs="Arial"/>
        </w:rPr>
        <w:t xml:space="preserve">, and </w:t>
      </w:r>
      <w:r w:rsidRPr="00A438AA">
        <w:rPr>
          <w:rFonts w:ascii="Arial" w:hAnsi="Arial" w:cs="Arial"/>
        </w:rPr>
        <w:t xml:space="preserve">Personal Property against </w:t>
      </w:r>
      <w:r w:rsidR="00CA6B51" w:rsidRPr="00A438AA">
        <w:rPr>
          <w:rFonts w:ascii="Arial" w:hAnsi="Arial" w:cs="Arial"/>
        </w:rPr>
        <w:t>loss caused by Fire, Lightning, Smoke, Explosion, Wind, Hail, Aircraft, Other People’s Vehicles, Theft, Glass Breakage, Vandalism, and Riot.</w:t>
      </w:r>
    </w:p>
    <w:p w:rsidR="00491D2E" w:rsidRDefault="00CA6B51" w:rsidP="00491D2E">
      <w:pPr>
        <w:rPr>
          <w:rFonts w:ascii="Tribune" w:hAnsi="Tribune"/>
        </w:rPr>
      </w:pPr>
      <w:r>
        <w:rPr>
          <w:rFonts w:ascii="Tribune" w:hAnsi="Tribune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179070</wp:posOffset>
            </wp:positionV>
            <wp:extent cx="716915" cy="868680"/>
            <wp:effectExtent l="1905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2E" w:rsidRDefault="00CA6B51" w:rsidP="00491D2E">
      <w:pPr>
        <w:rPr>
          <w:rFonts w:ascii="Tribune" w:hAnsi="Tribune"/>
        </w:rPr>
      </w:pPr>
      <w:r>
        <w:rPr>
          <w:rFonts w:ascii="Tribune" w:hAnsi="Tribune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23495</wp:posOffset>
            </wp:positionV>
            <wp:extent cx="1635125" cy="880110"/>
            <wp:effectExtent l="1905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ibune" w:hAnsi="Tribune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635</wp:posOffset>
            </wp:positionV>
            <wp:extent cx="2545715" cy="902970"/>
            <wp:effectExtent l="19050" t="0" r="698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CA6B51" w:rsidP="00491D2E">
      <w:pPr>
        <w:rPr>
          <w:rFonts w:ascii="Tribune" w:hAnsi="Tribune"/>
        </w:rPr>
      </w:pPr>
      <w:r>
        <w:rPr>
          <w:rFonts w:ascii="Tribune" w:hAnsi="Tribune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113665</wp:posOffset>
            </wp:positionV>
            <wp:extent cx="1635125" cy="993140"/>
            <wp:effectExtent l="1905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ibune" w:hAnsi="Tribune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113665</wp:posOffset>
            </wp:positionV>
            <wp:extent cx="758190" cy="891540"/>
            <wp:effectExtent l="1905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Pr="00A76AD9" w:rsidRDefault="00491D2E" w:rsidP="00491D2E">
      <w:pPr>
        <w:rPr>
          <w:rFonts w:ascii="Arial" w:hAnsi="Arial" w:cs="Arial"/>
        </w:rPr>
      </w:pPr>
    </w:p>
    <w:p w:rsidR="00A438AA" w:rsidRPr="00A76AD9" w:rsidRDefault="00A438AA" w:rsidP="00A438AA">
      <w:pPr>
        <w:rPr>
          <w:rFonts w:ascii="Arial" w:hAnsi="Arial" w:cs="Arial"/>
        </w:rPr>
      </w:pPr>
    </w:p>
    <w:p w:rsidR="0010002C" w:rsidRDefault="0010002C" w:rsidP="00A438AA">
      <w:pPr>
        <w:rPr>
          <w:rFonts w:ascii="Arial" w:hAnsi="Arial" w:cs="Arial"/>
        </w:rPr>
      </w:pPr>
    </w:p>
    <w:p w:rsidR="0010002C" w:rsidRDefault="0010002C" w:rsidP="00A438AA">
      <w:pPr>
        <w:rPr>
          <w:rFonts w:ascii="Arial" w:hAnsi="Arial" w:cs="Arial"/>
        </w:rPr>
      </w:pPr>
    </w:p>
    <w:p w:rsidR="00A76AD9" w:rsidRPr="00A76AD9" w:rsidRDefault="00A76AD9" w:rsidP="00A438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next step up from the HO-1 is the </w:t>
      </w:r>
      <w:r w:rsidRPr="00A76AD9">
        <w:rPr>
          <w:rFonts w:ascii="Arial" w:hAnsi="Arial" w:cs="Arial"/>
          <w:b/>
          <w:color w:val="0070C0"/>
          <w:sz w:val="28"/>
          <w:szCs w:val="28"/>
        </w:rPr>
        <w:t>HO-2</w:t>
      </w:r>
      <w:r>
        <w:rPr>
          <w:rFonts w:ascii="Arial" w:hAnsi="Arial" w:cs="Arial"/>
        </w:rPr>
        <w:t xml:space="preserve">, called the </w:t>
      </w:r>
      <w:r w:rsidRPr="00A76AD9">
        <w:rPr>
          <w:rFonts w:ascii="Arial" w:hAnsi="Arial" w:cs="Arial"/>
          <w:b/>
          <w:color w:val="0070C0"/>
          <w:sz w:val="28"/>
          <w:szCs w:val="28"/>
        </w:rPr>
        <w:t>Broad Form</w:t>
      </w:r>
      <w:r>
        <w:rPr>
          <w:rFonts w:ascii="Arial" w:hAnsi="Arial" w:cs="Arial"/>
        </w:rPr>
        <w:t>.</w:t>
      </w:r>
    </w:p>
    <w:p w:rsidR="00A438AA" w:rsidRPr="00A76AD9" w:rsidRDefault="00A438AA" w:rsidP="00A438AA">
      <w:pPr>
        <w:rPr>
          <w:rFonts w:ascii="Arial" w:hAnsi="Arial" w:cs="Arial"/>
        </w:rPr>
      </w:pPr>
    </w:p>
    <w:p w:rsidR="00A438AA" w:rsidRPr="00A76AD9" w:rsidRDefault="00A76AD9" w:rsidP="00A438AA">
      <w:pPr>
        <w:rPr>
          <w:rFonts w:ascii="Arial" w:hAnsi="Arial" w:cs="Arial"/>
        </w:rPr>
      </w:pPr>
      <w:r>
        <w:rPr>
          <w:rFonts w:ascii="Arial" w:hAnsi="Arial" w:cs="Arial"/>
        </w:rPr>
        <w:t>An</w:t>
      </w:r>
      <w:r w:rsidRPr="00A76AD9">
        <w:rPr>
          <w:rFonts w:ascii="Arial" w:hAnsi="Arial" w:cs="Arial"/>
        </w:rPr>
        <w:t xml:space="preserve"> </w:t>
      </w:r>
      <w:r w:rsidRPr="00A76AD9">
        <w:rPr>
          <w:rFonts w:ascii="Arial" w:hAnsi="Arial" w:cs="Arial"/>
          <w:b/>
        </w:rPr>
        <w:t>HO-2</w:t>
      </w:r>
      <w:r>
        <w:rPr>
          <w:rFonts w:ascii="Arial" w:hAnsi="Arial" w:cs="Arial"/>
          <w:b/>
        </w:rPr>
        <w:t xml:space="preserve"> </w:t>
      </w:r>
      <w:r w:rsidR="00A438AA" w:rsidRPr="00A76AD9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>road</w:t>
      </w:r>
      <w:r w:rsidR="00A438AA" w:rsidRPr="00A76AD9">
        <w:rPr>
          <w:rFonts w:ascii="Arial" w:hAnsi="Arial" w:cs="Arial"/>
          <w:b/>
        </w:rPr>
        <w:t xml:space="preserve"> F</w:t>
      </w:r>
      <w:r>
        <w:rPr>
          <w:rFonts w:ascii="Arial" w:hAnsi="Arial" w:cs="Arial"/>
          <w:b/>
        </w:rPr>
        <w:t>orm</w:t>
      </w:r>
      <w:r w:rsidR="00A438AA" w:rsidRPr="00A76AD9">
        <w:rPr>
          <w:rFonts w:ascii="Arial" w:hAnsi="Arial" w:cs="Arial"/>
        </w:rPr>
        <w:t xml:space="preserve"> policy insures your </w:t>
      </w:r>
      <w:r w:rsidRPr="00A438AA">
        <w:rPr>
          <w:rFonts w:ascii="Arial" w:hAnsi="Arial" w:cs="Arial"/>
        </w:rPr>
        <w:t>Home, Other Structures, and Personal Property against loss caused by</w:t>
      </w:r>
      <w:r>
        <w:rPr>
          <w:rFonts w:ascii="Arial" w:hAnsi="Arial" w:cs="Arial"/>
        </w:rPr>
        <w:t xml:space="preserve"> all the Basic Form losses PLUS</w:t>
      </w:r>
      <w:r w:rsidR="0010002C">
        <w:rPr>
          <w:rFonts w:ascii="Arial" w:hAnsi="Arial" w:cs="Arial"/>
        </w:rPr>
        <w:t xml:space="preserve"> damage caused by Artificial Electric Current, Discharge or Overflow from the Plumbing or Heating System, Freezing of Plumbing, Falling Objects, Weight of Ice Snow or Sleet, and Volcanic Eruption.</w:t>
      </w:r>
    </w:p>
    <w:p w:rsidR="00491D2E" w:rsidRDefault="00491D2E" w:rsidP="00491D2E">
      <w:pPr>
        <w:rPr>
          <w:rFonts w:ascii="Tribune" w:hAnsi="Tribune"/>
        </w:rPr>
      </w:pPr>
    </w:p>
    <w:p w:rsidR="00491D2E" w:rsidRDefault="0010002C" w:rsidP="00491D2E">
      <w:pPr>
        <w:rPr>
          <w:rFonts w:ascii="Tribune" w:hAnsi="Tribune"/>
        </w:rPr>
      </w:pPr>
      <w:r>
        <w:rPr>
          <w:rFonts w:ascii="Tribune" w:hAnsi="Tribune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132715</wp:posOffset>
            </wp:positionV>
            <wp:extent cx="2504440" cy="101600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ibune" w:hAnsi="Tribun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132715</wp:posOffset>
            </wp:positionV>
            <wp:extent cx="2738120" cy="1173480"/>
            <wp:effectExtent l="1905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Pr="00C712F8" w:rsidRDefault="0010002C" w:rsidP="00491D2E">
      <w:pPr>
        <w:rPr>
          <w:rFonts w:ascii="Arial" w:hAnsi="Arial" w:cs="Arial"/>
        </w:rPr>
      </w:pPr>
      <w:r w:rsidRPr="00C712F8">
        <w:rPr>
          <w:rFonts w:ascii="Arial" w:hAnsi="Arial" w:cs="Arial"/>
          <w:b/>
          <w:color w:val="5F497A" w:themeColor="accent4" w:themeShade="BF"/>
          <w:sz w:val="28"/>
          <w:szCs w:val="28"/>
        </w:rPr>
        <w:t>Renter’s Insurance</w:t>
      </w:r>
      <w:r w:rsidRPr="00C712F8">
        <w:rPr>
          <w:rFonts w:ascii="Arial" w:hAnsi="Arial" w:cs="Arial"/>
        </w:rPr>
        <w:t xml:space="preserve"> is written on an </w:t>
      </w:r>
      <w:r w:rsidRPr="00C712F8">
        <w:rPr>
          <w:rFonts w:ascii="Arial" w:hAnsi="Arial" w:cs="Arial"/>
          <w:b/>
          <w:color w:val="5F497A" w:themeColor="accent4" w:themeShade="BF"/>
          <w:sz w:val="28"/>
          <w:szCs w:val="28"/>
        </w:rPr>
        <w:t>HO-4</w:t>
      </w:r>
      <w:r w:rsidRPr="00C712F8">
        <w:rPr>
          <w:rFonts w:ascii="Arial" w:hAnsi="Arial" w:cs="Arial"/>
        </w:rPr>
        <w:t>.  This is similar to the HO-2 Broad Form, but it only insures your Personal Property and not the House or Other Structures.</w:t>
      </w:r>
    </w:p>
    <w:p w:rsidR="00C712F8" w:rsidRDefault="0010002C" w:rsidP="00C712F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An</w:t>
      </w:r>
      <w:r w:rsidRPr="0010002C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10002C">
        <w:rPr>
          <w:rFonts w:ascii="Arial" w:hAnsi="Arial" w:cs="Arial"/>
          <w:b/>
          <w:color w:val="00B050"/>
          <w:sz w:val="28"/>
          <w:szCs w:val="28"/>
        </w:rPr>
        <w:t>HO-3</w:t>
      </w:r>
      <w:r w:rsidRPr="0010002C">
        <w:rPr>
          <w:rFonts w:ascii="Arial" w:hAnsi="Arial" w:cs="Arial"/>
          <w:color w:val="00B050"/>
        </w:rPr>
        <w:t xml:space="preserve"> </w:t>
      </w:r>
      <w:r w:rsidRPr="0010002C">
        <w:rPr>
          <w:rFonts w:ascii="Arial" w:hAnsi="Arial" w:cs="Arial"/>
          <w:b/>
          <w:color w:val="00B050"/>
          <w:sz w:val="28"/>
          <w:szCs w:val="28"/>
        </w:rPr>
        <w:t>Special Form</w:t>
      </w:r>
      <w:r>
        <w:rPr>
          <w:rFonts w:ascii="Arial" w:hAnsi="Arial" w:cs="Arial"/>
        </w:rPr>
        <w:t xml:space="preserve"> policy </w:t>
      </w:r>
      <w:r w:rsidR="00C712F8">
        <w:rPr>
          <w:rFonts w:ascii="Arial" w:hAnsi="Arial" w:cs="Arial"/>
        </w:rPr>
        <w:t xml:space="preserve">insures your Personal Property just like an HO-2 </w:t>
      </w:r>
    </w:p>
    <w:p w:rsidR="00C712F8" w:rsidRDefault="00C712F8" w:rsidP="00C712F8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Broad Form.</w:t>
      </w:r>
      <w:proofErr w:type="gramEnd"/>
      <w:r>
        <w:rPr>
          <w:rFonts w:ascii="Arial" w:hAnsi="Arial" w:cs="Arial"/>
        </w:rPr>
        <w:t xml:space="preserve">  </w:t>
      </w:r>
    </w:p>
    <w:p w:rsidR="00491D2E" w:rsidRDefault="00C712F8" w:rsidP="00491D2E">
      <w:pPr>
        <w:rPr>
          <w:rFonts w:ascii="Tribune" w:hAnsi="Tribune"/>
        </w:rPr>
      </w:pPr>
      <w:r>
        <w:rPr>
          <w:rFonts w:ascii="Arial" w:hAnsi="Arial" w:cs="Arial"/>
        </w:rPr>
        <w:t xml:space="preserve">However, when it comes to insuring your House and Other structures, it </w:t>
      </w:r>
      <w:r w:rsidR="0010002C">
        <w:rPr>
          <w:rFonts w:ascii="Arial" w:hAnsi="Arial" w:cs="Arial"/>
        </w:rPr>
        <w:t>approaches things from the opposite direction.</w:t>
      </w:r>
      <w:r>
        <w:rPr>
          <w:rFonts w:ascii="Arial" w:hAnsi="Arial" w:cs="Arial"/>
        </w:rPr>
        <w:t xml:space="preserve">  </w:t>
      </w:r>
      <w:r w:rsidR="002D32A3" w:rsidRPr="00C712F8">
        <w:rPr>
          <w:rFonts w:ascii="Arial" w:hAnsi="Arial" w:cs="Arial"/>
          <w:i/>
        </w:rPr>
        <w:t xml:space="preserve">All </w:t>
      </w:r>
      <w:r w:rsidR="002D32A3">
        <w:rPr>
          <w:rFonts w:ascii="Arial" w:hAnsi="Arial" w:cs="Arial"/>
        </w:rPr>
        <w:t xml:space="preserve">damage that is covered by the HO-2 Broad Form </w:t>
      </w:r>
      <w:r w:rsidR="002D32A3" w:rsidRPr="00C712F8">
        <w:rPr>
          <w:rFonts w:ascii="Arial" w:hAnsi="Arial" w:cs="Arial"/>
          <w:i/>
        </w:rPr>
        <w:t xml:space="preserve">is </w:t>
      </w:r>
      <w:r w:rsidR="002D32A3">
        <w:rPr>
          <w:rFonts w:ascii="Arial" w:hAnsi="Arial" w:cs="Arial"/>
        </w:rPr>
        <w:t>covered by the HO-3 Special Form, but i</w:t>
      </w:r>
      <w:r>
        <w:rPr>
          <w:rFonts w:ascii="Arial" w:hAnsi="Arial" w:cs="Arial"/>
        </w:rPr>
        <w:t xml:space="preserve">nstead of listing the types of loss that </w:t>
      </w:r>
      <w:r w:rsidRPr="00C712F8">
        <w:rPr>
          <w:rFonts w:ascii="Arial" w:hAnsi="Arial" w:cs="Arial"/>
          <w:i/>
        </w:rPr>
        <w:t>are</w:t>
      </w:r>
      <w:r>
        <w:rPr>
          <w:rFonts w:ascii="Arial" w:hAnsi="Arial" w:cs="Arial"/>
        </w:rPr>
        <w:t xml:space="preserve"> covered, </w:t>
      </w:r>
      <w:r w:rsidR="002D32A3">
        <w:rPr>
          <w:rFonts w:ascii="Arial" w:hAnsi="Arial" w:cs="Arial"/>
        </w:rPr>
        <w:t>the HO-3</w:t>
      </w:r>
      <w:r>
        <w:rPr>
          <w:rFonts w:ascii="Arial" w:hAnsi="Arial" w:cs="Arial"/>
        </w:rPr>
        <w:t xml:space="preserve"> lists the loss</w:t>
      </w:r>
      <w:r w:rsidR="002D32A3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that are </w:t>
      </w:r>
      <w:r w:rsidRPr="00C712F8">
        <w:rPr>
          <w:rFonts w:ascii="Arial" w:hAnsi="Arial" w:cs="Arial"/>
          <w:i/>
        </w:rPr>
        <w:t>not</w:t>
      </w:r>
      <w:r>
        <w:rPr>
          <w:rFonts w:ascii="Arial" w:hAnsi="Arial" w:cs="Arial"/>
        </w:rPr>
        <w:t xml:space="preserve"> covered.</w:t>
      </w:r>
      <w:r w:rsidR="003D201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Because they are </w:t>
      </w:r>
      <w:r w:rsidRPr="00C712F8">
        <w:rPr>
          <w:rFonts w:ascii="Arial" w:hAnsi="Arial" w:cs="Arial"/>
          <w:i/>
        </w:rPr>
        <w:t>not</w:t>
      </w:r>
      <w:r>
        <w:rPr>
          <w:rFonts w:ascii="Arial" w:hAnsi="Arial" w:cs="Arial"/>
        </w:rPr>
        <w:t xml:space="preserve"> on the list, there are some additional losses that are covered, such as damage by Spills, Scorching, Chipping, Wild Animals, Roof Leakage, just to name a few.</w:t>
      </w:r>
    </w:p>
    <w:p w:rsidR="00491D2E" w:rsidRDefault="00491D2E" w:rsidP="00491D2E">
      <w:pPr>
        <w:rPr>
          <w:rFonts w:ascii="Tribune" w:hAnsi="Tribune"/>
        </w:rPr>
      </w:pPr>
    </w:p>
    <w:p w:rsidR="00491D2E" w:rsidRDefault="00C712F8" w:rsidP="00491D2E">
      <w:pPr>
        <w:rPr>
          <w:rFonts w:ascii="Tribune" w:hAnsi="Tribune"/>
        </w:rPr>
      </w:pPr>
      <w:r>
        <w:rPr>
          <w:rFonts w:ascii="Tribune" w:hAnsi="Tribune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46990</wp:posOffset>
            </wp:positionV>
            <wp:extent cx="895350" cy="110617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ibune" w:hAnsi="Tribune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46990</wp:posOffset>
            </wp:positionV>
            <wp:extent cx="801370" cy="117348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ibune" w:hAnsi="Tribune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80645</wp:posOffset>
            </wp:positionV>
            <wp:extent cx="861060" cy="110617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ibune" w:hAnsi="Tribune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85725</wp:posOffset>
            </wp:positionV>
            <wp:extent cx="866775" cy="1139825"/>
            <wp:effectExtent l="1905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ibune" w:hAnsi="Tribune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80645</wp:posOffset>
            </wp:positionV>
            <wp:extent cx="1860550" cy="1038225"/>
            <wp:effectExtent l="1905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C712F8" w:rsidRDefault="00C712F8" w:rsidP="00C712F8">
      <w:pPr>
        <w:rPr>
          <w:rFonts w:ascii="Arial" w:hAnsi="Arial" w:cs="Arial"/>
        </w:rPr>
      </w:pPr>
    </w:p>
    <w:p w:rsidR="00C712F8" w:rsidRDefault="00C712F8" w:rsidP="00C712F8">
      <w:pPr>
        <w:rPr>
          <w:rFonts w:ascii="Arial" w:hAnsi="Arial" w:cs="Arial"/>
        </w:rPr>
      </w:pPr>
    </w:p>
    <w:p w:rsidR="00C712F8" w:rsidRDefault="00C712F8" w:rsidP="00F4327D">
      <w:pPr>
        <w:rPr>
          <w:rFonts w:ascii="Arial" w:hAnsi="Arial" w:cs="Arial"/>
        </w:rPr>
      </w:pPr>
      <w:r w:rsidRPr="00F4327D">
        <w:rPr>
          <w:rFonts w:ascii="Arial" w:hAnsi="Arial" w:cs="Arial"/>
          <w:b/>
          <w:color w:val="E36C0A" w:themeColor="accent6" w:themeShade="BF"/>
          <w:sz w:val="28"/>
          <w:szCs w:val="28"/>
        </w:rPr>
        <w:t>Special Form</w:t>
      </w:r>
      <w:r>
        <w:rPr>
          <w:rFonts w:ascii="Arial" w:hAnsi="Arial" w:cs="Arial"/>
        </w:rPr>
        <w:t xml:space="preserve"> </w:t>
      </w:r>
      <w:r w:rsidR="00F4327D">
        <w:rPr>
          <w:rFonts w:ascii="Arial" w:hAnsi="Arial" w:cs="Arial"/>
        </w:rPr>
        <w:t>is available for</w:t>
      </w:r>
      <w:r>
        <w:rPr>
          <w:rFonts w:ascii="Arial" w:hAnsi="Arial" w:cs="Arial"/>
        </w:rPr>
        <w:t xml:space="preserve"> your Personal Property</w:t>
      </w:r>
      <w:r w:rsidR="00F4327D">
        <w:rPr>
          <w:rFonts w:ascii="Arial" w:hAnsi="Arial" w:cs="Arial"/>
        </w:rPr>
        <w:t xml:space="preserve">, too.  Most companies use the HO-3 policy form and add an endorsement such as the </w:t>
      </w:r>
      <w:r w:rsidR="00F4327D" w:rsidRPr="00F4327D">
        <w:rPr>
          <w:rFonts w:ascii="Arial" w:hAnsi="Arial" w:cs="Arial"/>
          <w:b/>
          <w:color w:val="E36C0A" w:themeColor="accent6" w:themeShade="BF"/>
          <w:sz w:val="28"/>
          <w:szCs w:val="28"/>
        </w:rPr>
        <w:t>HO-15</w:t>
      </w:r>
      <w:r w:rsidR="00F4327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:rsidR="00491D2E" w:rsidRDefault="00491D2E" w:rsidP="00491D2E">
      <w:pPr>
        <w:rPr>
          <w:rFonts w:ascii="Tribune" w:hAnsi="Tribune"/>
        </w:rPr>
      </w:pPr>
    </w:p>
    <w:p w:rsidR="00920009" w:rsidRDefault="00920009" w:rsidP="00920009">
      <w:pPr>
        <w:rPr>
          <w:rFonts w:ascii="Tribune" w:hAnsi="Tribune"/>
        </w:rPr>
      </w:pPr>
    </w:p>
    <w:p w:rsidR="00920009" w:rsidRDefault="00920009" w:rsidP="00920009">
      <w:pPr>
        <w:rPr>
          <w:rFonts w:ascii="Tribune" w:hAnsi="Tribune"/>
        </w:rPr>
      </w:pPr>
    </w:p>
    <w:p w:rsidR="00920009" w:rsidRDefault="00920009" w:rsidP="00920009">
      <w:pPr>
        <w:rPr>
          <w:rFonts w:ascii="Tribune" w:hAnsi="Tribune"/>
        </w:rPr>
      </w:pPr>
    </w:p>
    <w:p w:rsidR="00491D2E" w:rsidRPr="00F4327D" w:rsidRDefault="00491D2E" w:rsidP="00491D2E">
      <w:pPr>
        <w:rPr>
          <w:rFonts w:ascii="Arial" w:hAnsi="Arial" w:cs="Arial"/>
        </w:rPr>
      </w:pPr>
    </w:p>
    <w:p w:rsidR="00491D2E" w:rsidRPr="00F4327D" w:rsidRDefault="00491D2E" w:rsidP="00491D2E">
      <w:pPr>
        <w:rPr>
          <w:rFonts w:ascii="Arial" w:hAnsi="Arial" w:cs="Arial"/>
        </w:rPr>
      </w:pPr>
    </w:p>
    <w:p w:rsidR="00806714" w:rsidRDefault="00F4327D" w:rsidP="00491D2E">
      <w:pPr>
        <w:rPr>
          <w:rFonts w:ascii="Arial" w:hAnsi="Arial" w:cs="Arial"/>
        </w:rPr>
      </w:pPr>
      <w:r w:rsidRPr="00F4327D">
        <w:rPr>
          <w:rFonts w:ascii="Arial" w:hAnsi="Arial" w:cs="Arial"/>
        </w:rPr>
        <w:t xml:space="preserve">All policies also include a list of </w:t>
      </w:r>
      <w:r w:rsidRPr="00920009">
        <w:rPr>
          <w:rFonts w:ascii="Arial" w:hAnsi="Arial" w:cs="Arial"/>
          <w:b/>
          <w:sz w:val="28"/>
          <w:szCs w:val="28"/>
        </w:rPr>
        <w:t>exclusions</w:t>
      </w:r>
      <w:r w:rsidRPr="00F4327D">
        <w:rPr>
          <w:rFonts w:ascii="Arial" w:hAnsi="Arial" w:cs="Arial"/>
        </w:rPr>
        <w:t xml:space="preserve">; things that are not covered.  </w:t>
      </w:r>
      <w:r>
        <w:rPr>
          <w:rFonts w:ascii="Arial" w:hAnsi="Arial" w:cs="Arial"/>
        </w:rPr>
        <w:t>Y</w:t>
      </w:r>
      <w:r w:rsidRPr="00F4327D">
        <w:rPr>
          <w:rFonts w:ascii="Arial" w:hAnsi="Arial" w:cs="Arial"/>
        </w:rPr>
        <w:t xml:space="preserve">our policy does NOT cover loss caused by Flood, </w:t>
      </w:r>
      <w:r w:rsidR="00806714" w:rsidRPr="00F4327D">
        <w:rPr>
          <w:rFonts w:ascii="Arial" w:hAnsi="Arial" w:cs="Arial"/>
        </w:rPr>
        <w:t>Earthquake</w:t>
      </w:r>
      <w:r w:rsidR="00806714">
        <w:rPr>
          <w:rFonts w:ascii="Arial" w:hAnsi="Arial" w:cs="Arial"/>
        </w:rPr>
        <w:t>*</w:t>
      </w:r>
      <w:r w:rsidR="00806714" w:rsidRPr="00F4327D">
        <w:rPr>
          <w:rFonts w:ascii="Arial" w:hAnsi="Arial" w:cs="Arial"/>
        </w:rPr>
        <w:t>,</w:t>
      </w:r>
      <w:r w:rsidR="00806714">
        <w:rPr>
          <w:rFonts w:ascii="Arial" w:hAnsi="Arial" w:cs="Arial"/>
        </w:rPr>
        <w:t xml:space="preserve"> </w:t>
      </w:r>
      <w:r w:rsidRPr="00F4327D">
        <w:rPr>
          <w:rFonts w:ascii="Arial" w:hAnsi="Arial" w:cs="Arial"/>
        </w:rPr>
        <w:t>War, Insects (termites, etc), Rodents (mice, squirrels, groundhogs, etc), Vermin (bats, skunks, etc)</w:t>
      </w:r>
      <w:r>
        <w:rPr>
          <w:rFonts w:ascii="Arial" w:hAnsi="Arial" w:cs="Arial"/>
        </w:rPr>
        <w:t xml:space="preserve">, and Rot or Mold. </w:t>
      </w:r>
      <w:r w:rsidR="00895941">
        <w:rPr>
          <w:rFonts w:ascii="Arial" w:hAnsi="Arial" w:cs="Arial"/>
        </w:rPr>
        <w:t xml:space="preserve"> These are just examples.  </w:t>
      </w:r>
      <w:r w:rsidR="00895941" w:rsidRPr="00806714">
        <w:rPr>
          <w:rFonts w:ascii="Arial" w:hAnsi="Arial" w:cs="Arial"/>
          <w:u w:val="single"/>
        </w:rPr>
        <w:t>This is not a complete list</w:t>
      </w:r>
      <w:r w:rsidR="0089594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:rsidR="00491D2E" w:rsidRPr="00F4327D" w:rsidRDefault="00806714" w:rsidP="00491D2E">
      <w:pPr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F4327D" w:rsidRPr="00F4327D">
        <w:rPr>
          <w:rFonts w:ascii="Arial" w:hAnsi="Arial" w:cs="Arial"/>
        </w:rPr>
        <w:t>Earthquake</w:t>
      </w:r>
      <w:r w:rsidR="00F4327D">
        <w:rPr>
          <w:rFonts w:ascii="Arial" w:hAnsi="Arial" w:cs="Arial"/>
        </w:rPr>
        <w:t xml:space="preserve"> can be added.</w:t>
      </w: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491D2E" w:rsidRDefault="00491D2E" w:rsidP="00491D2E">
      <w:pPr>
        <w:rPr>
          <w:rFonts w:ascii="Tribune" w:hAnsi="Tribune"/>
        </w:rPr>
      </w:pPr>
    </w:p>
    <w:p w:rsidR="008F79C6" w:rsidRDefault="008F79C6" w:rsidP="0010002C">
      <w:pPr>
        <w:rPr>
          <w:rFonts w:ascii="Arial" w:hAnsi="Arial" w:cs="Arial"/>
        </w:rPr>
      </w:pPr>
    </w:p>
    <w:p w:rsidR="008F79C6" w:rsidRDefault="008F79C6" w:rsidP="0010002C">
      <w:pPr>
        <w:rPr>
          <w:rFonts w:ascii="Arial" w:hAnsi="Arial" w:cs="Arial"/>
        </w:rPr>
      </w:pPr>
    </w:p>
    <w:p w:rsidR="00895941" w:rsidRDefault="0010002C" w:rsidP="0010002C">
      <w:pPr>
        <w:rPr>
          <w:rFonts w:ascii="Arial" w:hAnsi="Arial" w:cs="Arial"/>
        </w:rPr>
      </w:pPr>
      <w:r>
        <w:rPr>
          <w:rFonts w:ascii="Arial" w:hAnsi="Arial" w:cs="Arial"/>
        </w:rPr>
        <w:t>I really hate disclaimer</w:t>
      </w:r>
      <w:r w:rsidR="0089594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but </w:t>
      </w:r>
      <w:r w:rsidR="00895941">
        <w:rPr>
          <w:rFonts w:ascii="Arial" w:hAnsi="Arial" w:cs="Arial"/>
        </w:rPr>
        <w:t xml:space="preserve">here </w:t>
      </w:r>
      <w:r w:rsidR="00806714">
        <w:rPr>
          <w:rFonts w:ascii="Arial" w:hAnsi="Arial" w:cs="Arial"/>
        </w:rPr>
        <w:t>goe</w:t>
      </w:r>
      <w:r w:rsidR="00895941">
        <w:rPr>
          <w:rFonts w:ascii="Arial" w:hAnsi="Arial" w:cs="Arial"/>
        </w:rPr>
        <w:t>s anyway</w:t>
      </w:r>
      <w:r>
        <w:rPr>
          <w:rFonts w:ascii="Arial" w:hAnsi="Arial" w:cs="Arial"/>
        </w:rPr>
        <w:t xml:space="preserve">.  </w:t>
      </w:r>
    </w:p>
    <w:p w:rsidR="00A4410F" w:rsidRPr="00895941" w:rsidRDefault="001000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While insurance companies all use standardized policy forms, there are different research companies developing and printing those standardized forms, so each insurance company’s policy will vary from the </w:t>
      </w:r>
      <w:r w:rsidR="00895941">
        <w:rPr>
          <w:rFonts w:ascii="Arial" w:hAnsi="Arial" w:cs="Arial"/>
        </w:rPr>
        <w:t xml:space="preserve">next in some way.  The </w:t>
      </w:r>
      <w:r>
        <w:rPr>
          <w:rFonts w:ascii="Arial" w:hAnsi="Arial" w:cs="Arial"/>
        </w:rPr>
        <w:t xml:space="preserve">descriptions </w:t>
      </w:r>
      <w:r w:rsidR="00895941">
        <w:rPr>
          <w:rFonts w:ascii="Arial" w:hAnsi="Arial" w:cs="Arial"/>
        </w:rPr>
        <w:t xml:space="preserve">given are very simplified and </w:t>
      </w:r>
      <w:r>
        <w:rPr>
          <w:rFonts w:ascii="Arial" w:hAnsi="Arial" w:cs="Arial"/>
        </w:rPr>
        <w:t>should be taken as generalities only, and not as being specific to your policy.</w:t>
      </w:r>
    </w:p>
    <w:sectPr w:rsidR="00A4410F" w:rsidRPr="00895941" w:rsidSect="00A44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ibun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76094"/>
    <w:multiLevelType w:val="hybridMultilevel"/>
    <w:tmpl w:val="D2C8C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0F2F72"/>
    <w:multiLevelType w:val="hybridMultilevel"/>
    <w:tmpl w:val="B2E2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20"/>
  <w:characterSpacingControl w:val="doNotCompress"/>
  <w:compat/>
  <w:rsids>
    <w:rsidRoot w:val="00B935D0"/>
    <w:rsid w:val="00052394"/>
    <w:rsid w:val="00071E7B"/>
    <w:rsid w:val="000742E4"/>
    <w:rsid w:val="000830F8"/>
    <w:rsid w:val="00084B6E"/>
    <w:rsid w:val="00091242"/>
    <w:rsid w:val="00091763"/>
    <w:rsid w:val="000B5C88"/>
    <w:rsid w:val="000D247C"/>
    <w:rsid w:val="000D4EAE"/>
    <w:rsid w:val="000D7E48"/>
    <w:rsid w:val="000E2718"/>
    <w:rsid w:val="0010002C"/>
    <w:rsid w:val="00101371"/>
    <w:rsid w:val="00111A67"/>
    <w:rsid w:val="0011469D"/>
    <w:rsid w:val="001212D4"/>
    <w:rsid w:val="00137ABE"/>
    <w:rsid w:val="001443F1"/>
    <w:rsid w:val="001630EC"/>
    <w:rsid w:val="00183571"/>
    <w:rsid w:val="001967B6"/>
    <w:rsid w:val="001C71D6"/>
    <w:rsid w:val="001F02E2"/>
    <w:rsid w:val="001F0479"/>
    <w:rsid w:val="002157AB"/>
    <w:rsid w:val="00234094"/>
    <w:rsid w:val="00236867"/>
    <w:rsid w:val="002677F8"/>
    <w:rsid w:val="00271259"/>
    <w:rsid w:val="002B306E"/>
    <w:rsid w:val="002C6984"/>
    <w:rsid w:val="002D32A3"/>
    <w:rsid w:val="002D6CE2"/>
    <w:rsid w:val="002F0F9E"/>
    <w:rsid w:val="00330FA3"/>
    <w:rsid w:val="00361844"/>
    <w:rsid w:val="00382AC0"/>
    <w:rsid w:val="00386714"/>
    <w:rsid w:val="003928A1"/>
    <w:rsid w:val="003A5E1F"/>
    <w:rsid w:val="003D2012"/>
    <w:rsid w:val="004556AB"/>
    <w:rsid w:val="00484288"/>
    <w:rsid w:val="00491D2E"/>
    <w:rsid w:val="004A74F6"/>
    <w:rsid w:val="004B30D0"/>
    <w:rsid w:val="004C00E7"/>
    <w:rsid w:val="00505FEB"/>
    <w:rsid w:val="00527620"/>
    <w:rsid w:val="00562F74"/>
    <w:rsid w:val="005771AE"/>
    <w:rsid w:val="00592D47"/>
    <w:rsid w:val="005A27FA"/>
    <w:rsid w:val="005D2454"/>
    <w:rsid w:val="005D280B"/>
    <w:rsid w:val="006704DD"/>
    <w:rsid w:val="006A03FB"/>
    <w:rsid w:val="006C40D9"/>
    <w:rsid w:val="006D12A3"/>
    <w:rsid w:val="006F16D9"/>
    <w:rsid w:val="0070501C"/>
    <w:rsid w:val="00707E55"/>
    <w:rsid w:val="00727A42"/>
    <w:rsid w:val="00783C66"/>
    <w:rsid w:val="007A50BC"/>
    <w:rsid w:val="007B17FE"/>
    <w:rsid w:val="007B7CD3"/>
    <w:rsid w:val="007C1C24"/>
    <w:rsid w:val="00801C20"/>
    <w:rsid w:val="00806714"/>
    <w:rsid w:val="00813577"/>
    <w:rsid w:val="00823A5B"/>
    <w:rsid w:val="00840B39"/>
    <w:rsid w:val="00845CCE"/>
    <w:rsid w:val="008504B4"/>
    <w:rsid w:val="008542B7"/>
    <w:rsid w:val="00865860"/>
    <w:rsid w:val="00867999"/>
    <w:rsid w:val="00867AAF"/>
    <w:rsid w:val="00881AF2"/>
    <w:rsid w:val="00895941"/>
    <w:rsid w:val="00896FE5"/>
    <w:rsid w:val="008C724B"/>
    <w:rsid w:val="008F79C6"/>
    <w:rsid w:val="00920009"/>
    <w:rsid w:val="00973FD3"/>
    <w:rsid w:val="009A2BE6"/>
    <w:rsid w:val="009B1FF6"/>
    <w:rsid w:val="009D2D4C"/>
    <w:rsid w:val="009D4FAE"/>
    <w:rsid w:val="009E2D25"/>
    <w:rsid w:val="00A13F79"/>
    <w:rsid w:val="00A226E0"/>
    <w:rsid w:val="00A22C07"/>
    <w:rsid w:val="00A22DB1"/>
    <w:rsid w:val="00A24E38"/>
    <w:rsid w:val="00A331D6"/>
    <w:rsid w:val="00A438AA"/>
    <w:rsid w:val="00A4410F"/>
    <w:rsid w:val="00A51152"/>
    <w:rsid w:val="00A756CE"/>
    <w:rsid w:val="00A76AD9"/>
    <w:rsid w:val="00AB747A"/>
    <w:rsid w:val="00AC33B7"/>
    <w:rsid w:val="00B0721E"/>
    <w:rsid w:val="00B07360"/>
    <w:rsid w:val="00B51868"/>
    <w:rsid w:val="00B57D0E"/>
    <w:rsid w:val="00B72781"/>
    <w:rsid w:val="00B935D0"/>
    <w:rsid w:val="00B95197"/>
    <w:rsid w:val="00BA2B79"/>
    <w:rsid w:val="00BB6CBF"/>
    <w:rsid w:val="00BB7A9C"/>
    <w:rsid w:val="00BC05D7"/>
    <w:rsid w:val="00BC1527"/>
    <w:rsid w:val="00BD527B"/>
    <w:rsid w:val="00BD57E4"/>
    <w:rsid w:val="00BE2B85"/>
    <w:rsid w:val="00BF7C03"/>
    <w:rsid w:val="00C0739E"/>
    <w:rsid w:val="00C41303"/>
    <w:rsid w:val="00C570D6"/>
    <w:rsid w:val="00C6048E"/>
    <w:rsid w:val="00C6432F"/>
    <w:rsid w:val="00C712F8"/>
    <w:rsid w:val="00C83DAB"/>
    <w:rsid w:val="00C90552"/>
    <w:rsid w:val="00C90B20"/>
    <w:rsid w:val="00CA6B51"/>
    <w:rsid w:val="00CC269B"/>
    <w:rsid w:val="00CC6475"/>
    <w:rsid w:val="00CD780D"/>
    <w:rsid w:val="00CE5824"/>
    <w:rsid w:val="00D01023"/>
    <w:rsid w:val="00D07710"/>
    <w:rsid w:val="00D17CE2"/>
    <w:rsid w:val="00D210BC"/>
    <w:rsid w:val="00D24256"/>
    <w:rsid w:val="00D50E3A"/>
    <w:rsid w:val="00D65964"/>
    <w:rsid w:val="00D70F26"/>
    <w:rsid w:val="00D72B06"/>
    <w:rsid w:val="00D87E43"/>
    <w:rsid w:val="00DA037E"/>
    <w:rsid w:val="00DE0199"/>
    <w:rsid w:val="00E049B6"/>
    <w:rsid w:val="00E163AF"/>
    <w:rsid w:val="00E264FA"/>
    <w:rsid w:val="00E35675"/>
    <w:rsid w:val="00E7144B"/>
    <w:rsid w:val="00E84D3B"/>
    <w:rsid w:val="00E9221A"/>
    <w:rsid w:val="00EB6D7B"/>
    <w:rsid w:val="00EB7B0A"/>
    <w:rsid w:val="00ED2CBD"/>
    <w:rsid w:val="00F02E12"/>
    <w:rsid w:val="00F2197D"/>
    <w:rsid w:val="00F26473"/>
    <w:rsid w:val="00F414EC"/>
    <w:rsid w:val="00F4327D"/>
    <w:rsid w:val="00F46252"/>
    <w:rsid w:val="00F549BF"/>
    <w:rsid w:val="00F632E8"/>
    <w:rsid w:val="00F71D7B"/>
    <w:rsid w:val="00F77259"/>
    <w:rsid w:val="00F814E0"/>
    <w:rsid w:val="00F91366"/>
    <w:rsid w:val="00F966B1"/>
    <w:rsid w:val="00FA6700"/>
    <w:rsid w:val="00FE014F"/>
    <w:rsid w:val="00FE4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D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Budd</dc:creator>
  <cp:keywords/>
  <dc:description/>
  <cp:lastModifiedBy>David Budd</cp:lastModifiedBy>
  <cp:revision>7</cp:revision>
  <dcterms:created xsi:type="dcterms:W3CDTF">2015-08-19T15:48:00Z</dcterms:created>
  <dcterms:modified xsi:type="dcterms:W3CDTF">2015-08-19T20:50:00Z</dcterms:modified>
</cp:coreProperties>
</file>